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ACF77">
      <w:pPr>
        <w:pStyle w:val="7"/>
        <w:pageBreakBefore w:val="0"/>
        <w:kinsoku/>
        <w:overflowPunct/>
        <w:topLinePunct w:val="0"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013D0E0E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本采购需求中提出的服务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需求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仅为参考，如无明确限制，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磋商小组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评审认可。且此方案须经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小组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评审认可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若无优化可不另外提供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服务方案，磋商小组视为完全响应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 w14:paraId="78DB972F">
      <w:pPr>
        <w:pageBreakBefore w:val="0"/>
        <w:kinsoku/>
        <w:overflowPunct/>
        <w:topLinePunct w:val="0"/>
        <w:bidi w:val="0"/>
        <w:adjustRightInd/>
        <w:snapToGrid/>
        <w:spacing w:line="420" w:lineRule="exact"/>
        <w:ind w:firstLine="422" w:firstLineChars="200"/>
        <w:textAlignment w:val="auto"/>
        <w:rPr>
          <w:rFonts w:hint="default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一、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采购需求前附表</w:t>
      </w:r>
    </w:p>
    <w:tbl>
      <w:tblPr>
        <w:tblStyle w:val="5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 w14:paraId="371F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04A60888"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391" w:type="dxa"/>
            <w:vAlign w:val="center"/>
          </w:tcPr>
          <w:p w14:paraId="6F859F57"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条款名称</w:t>
            </w:r>
          </w:p>
        </w:tc>
        <w:tc>
          <w:tcPr>
            <w:tcW w:w="5170" w:type="dxa"/>
            <w:vAlign w:val="center"/>
          </w:tcPr>
          <w:p w14:paraId="5E8A1199">
            <w:pPr>
              <w:pStyle w:val="2"/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2AE7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08" w:type="dxa"/>
            <w:vAlign w:val="center"/>
          </w:tcPr>
          <w:p w14:paraId="5E713B0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91" w:type="dxa"/>
            <w:vAlign w:val="center"/>
          </w:tcPr>
          <w:p w14:paraId="6DF4A1D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5170" w:type="dxa"/>
            <w:vAlign w:val="center"/>
          </w:tcPr>
          <w:p w14:paraId="4071BEE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 w:right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完成该项目可行性研究报告和项目建议书后并通过相关部门审批后 ，一次性支付合同价款的100%。</w:t>
            </w:r>
          </w:p>
        </w:tc>
      </w:tr>
      <w:tr w14:paraId="3BF6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02D37E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91" w:type="dxa"/>
            <w:vAlign w:val="center"/>
          </w:tcPr>
          <w:p w14:paraId="76B9924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5170" w:type="dxa"/>
            <w:vAlign w:val="center"/>
          </w:tcPr>
          <w:p w14:paraId="2EA5C97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</w:p>
        </w:tc>
      </w:tr>
      <w:tr w14:paraId="16E7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15B798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91" w:type="dxa"/>
            <w:vAlign w:val="center"/>
          </w:tcPr>
          <w:p w14:paraId="5BBD11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合同履行期限</w:t>
            </w:r>
          </w:p>
          <w:p w14:paraId="7616E2A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期限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170" w:type="dxa"/>
            <w:vAlign w:val="center"/>
          </w:tcPr>
          <w:p w14:paraId="332C0B7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自合同签订之日起30日历天</w:t>
            </w:r>
          </w:p>
        </w:tc>
      </w:tr>
      <w:tr w14:paraId="6C23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53C2CED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 w14:paraId="3D52BB2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5170" w:type="dxa"/>
            <w:vAlign w:val="center"/>
          </w:tcPr>
          <w:p w14:paraId="6DEC81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</w:tbl>
    <w:p w14:paraId="357525FE">
      <w:pPr>
        <w:spacing w:line="360" w:lineRule="auto"/>
        <w:ind w:firstLine="422" w:firstLineChars="200"/>
        <w:outlineLvl w:val="1"/>
        <w:rPr>
          <w:rFonts w:ascii="宋体" w:hAnsi="宋体" w:eastAsia="宋体"/>
          <w:b/>
          <w:color w:val="auto"/>
          <w:sz w:val="21"/>
          <w:szCs w:val="21"/>
          <w:highlight w:val="none"/>
        </w:rPr>
      </w:pPr>
      <w:bookmarkStart w:id="0" w:name="_Toc12926"/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二、项目概况</w:t>
      </w:r>
      <w:bookmarkEnd w:id="0"/>
    </w:p>
    <w:p w14:paraId="1F912392">
      <w:pPr>
        <w:numPr>
          <w:ilvl w:val="0"/>
          <w:numId w:val="0"/>
        </w:numPr>
        <w:ind w:firstLine="210" w:firstLineChars="1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1" w:name="_Toc24967"/>
      <w:bookmarkStart w:id="2" w:name="_Toc4312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改造修缮：</w:t>
      </w:r>
    </w:p>
    <w:p w14:paraId="431786C1">
      <w:pPr>
        <w:numPr>
          <w:ilvl w:val="0"/>
          <w:numId w:val="0"/>
        </w:numPr>
        <w:spacing w:line="360" w:lineRule="auto"/>
        <w:ind w:left="148" w:leftChars="0" w:firstLine="690" w:firstLineChars="329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改造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修缮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加固共计8处，建筑面积13416㎡，防空洞口部及内部进行扩大，入口提升改造，内部设置国防人防宣教场地，同时部分改造为市民纳凉场所，将早期人防工程普惠于民。   </w:t>
      </w:r>
    </w:p>
    <w:p w14:paraId="0E8B72FF">
      <w:pPr>
        <w:numPr>
          <w:ilvl w:val="0"/>
          <w:numId w:val="0"/>
        </w:numPr>
        <w:ind w:left="0" w:leftChars="0" w:firstLine="210" w:firstLineChars="1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报废填埋类（C5泡沫混凝土）：（）</w:t>
      </w:r>
    </w:p>
    <w:p w14:paraId="2060860C">
      <w:pPr>
        <w:numPr>
          <w:ilvl w:val="0"/>
          <w:numId w:val="0"/>
        </w:numPr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总建筑面积约27874.7㎡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共计28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处早期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人防工程（其中一处约2000㎡需绘制坑道图纸）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 w14:paraId="27739BC4">
      <w:pPr>
        <w:numPr>
          <w:ilvl w:val="0"/>
          <w:numId w:val="0"/>
        </w:numPr>
        <w:spacing w:line="360" w:lineRule="auto"/>
        <w:ind w:firstLine="210" w:firstLineChars="1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服务范围</w:t>
      </w:r>
    </w:p>
    <w:p w14:paraId="707E8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1.项目建议书编制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：基于工程基础资料、普查及相关鉴定报告，编制项目建议书，阐述项目建设必要性、建设内容与规模、投资估算与资金筹措计划、社会效益分析等，为项目立项提供依据，项目建议书格式和内容需符合政府投资项目立项申报规范。文件编制成果满足发改委批复的要求，内容包含但不限于以下内容：</w:t>
      </w:r>
    </w:p>
    <w:p w14:paraId="3FC3F4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总论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2F774F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项目建设必要性分析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4B2769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项目建设可行性分析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0D4B5F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项目建设方案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0189DA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环境影响分析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471043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消防、节能与安全卫生分析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6D014F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投资估算及资金筹措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019E28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项目组织管理与建设工期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31239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2.可行性研究报告编制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：依据项目建议书成果，从技术、经济、环境、社会等多方面对报废填埋及加固改造两种处置方式进行可行性分析。提出建设可行性方案，并对方案进行详细的技术路线设计、工程估算编制、实施进度规划及风险评估，形成完整的可行性研究报告，报告内容应满足相关部门审批要求。文件编制成果满足《政府投资项目可研报告编写通用大纲（2023年版）》的要求，内容包含但不限于以下内容：</w:t>
      </w:r>
    </w:p>
    <w:p w14:paraId="71DFC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(1)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项目概述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3D94F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(2)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项目建设背景和必要性</w:t>
      </w:r>
    </w:p>
    <w:p w14:paraId="1D2BC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(3)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项目需求分析与产出方案</w:t>
      </w:r>
    </w:p>
    <w:p w14:paraId="38871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(4)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项目选址与要素保障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76C77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(5)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项目建设方案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532DA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(6)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项目运营方案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52627B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(7)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投资估算与资金筹措</w:t>
      </w:r>
    </w:p>
    <w:p w14:paraId="4D3D1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(8)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项目影响效果分析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4D8BE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(9)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项目风险管控方案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1E09F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(10)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研究结论及建议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3F49E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(11)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相关附表、附图和附件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ab/>
      </w:r>
    </w:p>
    <w:p w14:paraId="093B9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3.根据发包人要求，完成项目建议书、项目可行性研究文本的编制，并通过相关职能部门审核，取得项目建议书、项目可行性研究批复。</w:t>
      </w:r>
    </w:p>
    <w:p w14:paraId="6232DDD3">
      <w:pPr>
        <w:numPr>
          <w:ilvl w:val="0"/>
          <w:numId w:val="0"/>
        </w:numPr>
        <w:spacing w:line="360" w:lineRule="auto"/>
        <w:ind w:firstLine="422" w:firstLineChars="200"/>
        <w:outlineLvl w:val="1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三、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服务需求</w:t>
      </w:r>
      <w:bookmarkEnd w:id="1"/>
      <w:bookmarkEnd w:id="2"/>
    </w:p>
    <w:p w14:paraId="1EA557C5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1.时间要求：合同签订后5个工作日内收集工程现状、项目鉴定报告等基础资料；10个工作日</w:t>
      </w:r>
    </w:p>
    <w:p w14:paraId="55D0C7F4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内完成项目建议书编制，取得项目建议书批复后10个工作日内完成可行性研究报告初稿，初稿经业主方审核提出意见后5个工作日内完成修改并提交正式稿；经专家评审后协助建设单位取得可行性研究报告批复。</w:t>
      </w:r>
    </w:p>
    <w:p w14:paraId="0D739499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2.质量标准：各项报告内容应真实、准确、完整，数据来源可靠，分析方法科学合理，结论明</w:t>
      </w:r>
    </w:p>
    <w:p w14:paraId="1146864E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确。项目建议书和可行性研究报告应通过相关部门组织的专家评审，并根据评审意见进行修改完善直至通过审批。</w:t>
      </w:r>
      <w:bookmarkStart w:id="3" w:name="_Toc15927"/>
      <w:bookmarkStart w:id="4" w:name="_Toc30537"/>
    </w:p>
    <w:p w14:paraId="1949EB3C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3.交付成果</w:t>
      </w:r>
    </w:p>
    <w:p w14:paraId="4CCFD37B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（1）项目建议书：纸质版 2 份，电子版1份，符合政府投资项目立项申报格式，内容完整，突出项目建设的必要性和可行性。</w:t>
      </w:r>
    </w:p>
    <w:p w14:paraId="61A39D14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（2）可行性研究报告：纸质版 2 份，电子版 1份，报告格式规范，章节清晰，按照相关行业标准和审批要求编制，详细阐述项目可行性及推荐方案实施计划。</w:t>
      </w:r>
      <w:bookmarkEnd w:id="3"/>
      <w:bookmarkEnd w:id="4"/>
    </w:p>
    <w:p w14:paraId="2101EA6C">
      <w:pPr>
        <w:spacing w:line="360" w:lineRule="auto"/>
        <w:ind w:firstLine="422" w:firstLineChars="200"/>
        <w:outlineLvl w:val="1"/>
        <w:rPr>
          <w:color w:val="auto"/>
          <w:highlight w:val="none"/>
        </w:rPr>
      </w:pPr>
      <w:bookmarkStart w:id="5" w:name="_Toc6830"/>
      <w:bookmarkStart w:id="6" w:name="_Toc20190"/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、其他要求</w:t>
      </w:r>
      <w:bookmarkEnd w:id="5"/>
      <w:bookmarkEnd w:id="6"/>
      <w:r>
        <w:rPr>
          <w:rFonts w:hint="eastAsia"/>
          <w:color w:val="auto"/>
          <w:sz w:val="21"/>
          <w:szCs w:val="21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 xml:space="preserve">   </w:t>
      </w:r>
    </w:p>
    <w:p w14:paraId="2F87C39E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1.供应商应承担在项目实施过程中产生的交通、食宿、资料收集等一切费用。</w:t>
      </w:r>
    </w:p>
    <w:p w14:paraId="05E9D158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2.业主方有权对供应商的工作进行监督检查，供应商应积极配合并及时整改存在的问题。</w:t>
      </w:r>
    </w:p>
    <w:p w14:paraId="655CA2D3"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3.因供应商原因导致项目成果未通过评审或审批，供应商应免费进行修改完善，直至通过为止；若因此延误项目进度，供应商应承担相应违约责任。</w:t>
      </w:r>
    </w:p>
    <w:p w14:paraId="54E515B0">
      <w:pPr>
        <w:numPr>
          <w:ilvl w:val="0"/>
          <w:numId w:val="0"/>
        </w:numPr>
        <w:spacing w:line="360" w:lineRule="auto"/>
        <w:ind w:firstLine="420" w:firstLineChars="200"/>
        <w:outlineLvl w:val="1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4.本项目采购需求未尽事宜，双方可在合同签订时协商补充。</w:t>
      </w:r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0A080">
    <w:pPr>
      <w:pStyle w:val="3"/>
      <w:pBdr>
        <w:top w:val="single" w:color="auto" w:sz="4" w:space="1"/>
      </w:pBdr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0FCA6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0FCA6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41757">
    <w:pPr>
      <w:pStyle w:val="4"/>
      <w:wordWrap w:val="0"/>
      <w:ind w:firstLine="420" w:firstLineChars="200"/>
      <w:jc w:val="right"/>
      <w:rPr>
        <w:rFonts w:hint="eastAsia" w:ascii="楷体" w:hAnsi="楷体" w:eastAsia="楷体"/>
        <w:i/>
        <w:sz w:val="21"/>
        <w:szCs w:val="21"/>
      </w:rPr>
    </w:pPr>
    <w:r>
      <w:rPr>
        <w:rFonts w:hint="eastAsia" w:ascii="楷体" w:hAnsi="楷体" w:eastAsia="楷体"/>
        <w:i/>
        <w:sz w:val="21"/>
        <w:szCs w:val="21"/>
      </w:rPr>
      <w:t xml:space="preserve">   安徽华源工程咨询有限公司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5099C"/>
    <w:multiLevelType w:val="singleLevel"/>
    <w:tmpl w:val="B715099C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37E6F"/>
    <w:rsid w:val="759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2025-04-28T03:27:00Z</dcterms:created>
  <dc:creator>BLUE</dc:creator>
  <cp:lastModifiedBy>BLUE</cp:lastModifiedBy>
  <dcterms:modified xsi:type="dcterms:W3CDTF">2025-04-28T03:27:32Z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2413C190A25040118698D3BECE2313EE_11</vt:lpwstr>
  </property>
  <property fmtid="{D5CDD505-2E9C-101B-9397-08002B2CF9AE}" pid="4" name="KSOTemplateDocerSaveRecord">
    <vt:lpwstr>eyJoZGlkIjoiYTJjYjZjNWUwNmUwOTY3ZTE3YzZhZmNmOWMyOGYxNTgiLCJ1c2VySWQiOiI2MzQ3MTk0ODQifQ==</vt:lpwstr>
  </property>
</Properties>
</file>